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2023级劳动与社会保障（康养金融）专业</w:t>
      </w:r>
    </w:p>
    <w:p>
      <w:pPr>
        <w:adjustRightInd w:val="0"/>
        <w:snapToGrid w:val="0"/>
        <w:spacing w:line="360" w:lineRule="auto"/>
        <w:jc w:val="center"/>
        <w:rPr>
          <w:rFonts w:hint="eastAsia" w:ascii="仿宋" w:hAnsi="仿宋" w:eastAsia="仿宋" w:cs="仿宋"/>
          <w:sz w:val="32"/>
          <w:szCs w:val="32"/>
        </w:rPr>
      </w:pPr>
      <w:r>
        <w:rPr>
          <w:rFonts w:hint="eastAsia" w:ascii="仿宋" w:hAnsi="仿宋" w:eastAsia="仿宋" w:cs="仿宋"/>
          <w:b/>
          <w:bCs/>
          <w:sz w:val="32"/>
          <w:szCs w:val="32"/>
        </w:rPr>
        <w:t>辅修学士学位（专业）课程设置</w:t>
      </w: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本校非管理学学科门类的学生可选择攻读本专业辅修学士学位，需要在第三至第</w:t>
      </w:r>
      <w:r>
        <w:rPr>
          <w:rFonts w:hint="eastAsia" w:ascii="仿宋" w:hAnsi="仿宋" w:eastAsia="仿宋" w:cs="仿宋"/>
          <w:lang w:eastAsia="zh-CN"/>
        </w:rPr>
        <w:t>八</w:t>
      </w:r>
      <w:r>
        <w:rPr>
          <w:rFonts w:hint="eastAsia" w:ascii="仿宋" w:hAnsi="仿宋" w:eastAsia="仿宋" w:cs="仿宋"/>
        </w:rPr>
        <w:t>学期完成下表中的课程学习和毕业论文，最低需修满3</w:t>
      </w:r>
      <w:r>
        <w:rPr>
          <w:rFonts w:hint="eastAsia" w:ascii="仿宋" w:hAnsi="仿宋" w:eastAsia="仿宋" w:cs="仿宋"/>
          <w:lang w:val="en-US" w:eastAsia="zh-CN"/>
        </w:rPr>
        <w:t>7</w:t>
      </w:r>
      <w:r>
        <w:rPr>
          <w:rFonts w:hint="eastAsia" w:ascii="仿宋" w:hAnsi="仿宋" w:eastAsia="仿宋" w:cs="仿宋"/>
        </w:rPr>
        <w:t>学分。满足主修专业毕业条件和学士学位授予要求，辅修符合国家学位条例学士学位授予条件，可授予辅修管理学学士学位。</w:t>
      </w: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本校管理学学科门类的非劳动与社会保障专业的学生可选择攻读本专业辅修专业，需要在第三至第七学期完成下表中标★的9门课程学习，最低需修满2</w:t>
      </w:r>
      <w:r>
        <w:rPr>
          <w:rFonts w:hint="eastAsia" w:ascii="仿宋" w:hAnsi="仿宋" w:eastAsia="仿宋" w:cs="仿宋"/>
          <w:lang w:val="en-US" w:eastAsia="zh-CN"/>
        </w:rPr>
        <w:t>0</w:t>
      </w:r>
      <w:r>
        <w:rPr>
          <w:rFonts w:hint="eastAsia" w:ascii="仿宋" w:hAnsi="仿宋" w:eastAsia="仿宋" w:cs="仿宋"/>
        </w:rPr>
        <w:t>学分。满足主修专业毕业条件，可授予劳动与社会保障（康养金融）专业辅修专业证书。</w:t>
      </w:r>
    </w:p>
    <w:p>
      <w:pPr>
        <w:widowControl w:val="0"/>
        <w:spacing w:line="360" w:lineRule="auto"/>
        <w:rPr>
          <w:rFonts w:eastAsia="仿宋"/>
          <w:b/>
          <w:bCs/>
          <w:kern w:val="2"/>
          <w:sz w:val="24"/>
          <w:szCs w:val="24"/>
        </w:rPr>
      </w:pPr>
      <w:r>
        <w:rPr>
          <w:rFonts w:eastAsia="仿宋"/>
          <w:b/>
          <w:bCs/>
          <w:kern w:val="2"/>
          <w:sz w:val="24"/>
          <w:szCs w:val="24"/>
        </w:rPr>
        <w:t>学院：</w:t>
      </w:r>
      <w:r>
        <w:rPr>
          <w:rFonts w:hint="eastAsia" w:eastAsia="仿宋"/>
          <w:b/>
          <w:bCs/>
          <w:kern w:val="2"/>
          <w:sz w:val="24"/>
          <w:szCs w:val="24"/>
        </w:rPr>
        <w:t>财税与公共管理</w:t>
      </w:r>
      <w:r>
        <w:rPr>
          <w:rFonts w:eastAsia="仿宋"/>
          <w:b/>
          <w:bCs/>
          <w:kern w:val="2"/>
          <w:sz w:val="24"/>
          <w:szCs w:val="24"/>
        </w:rPr>
        <w:t xml:space="preserve">学院       </w:t>
      </w:r>
    </w:p>
    <w:p>
      <w:pPr>
        <w:widowControl w:val="0"/>
        <w:spacing w:line="360" w:lineRule="auto"/>
        <w:rPr>
          <w:rFonts w:eastAsia="仿宋"/>
          <w:b/>
          <w:bCs/>
          <w:kern w:val="2"/>
          <w:sz w:val="24"/>
          <w:szCs w:val="24"/>
        </w:rPr>
      </w:pPr>
      <w:r>
        <w:rPr>
          <w:rFonts w:eastAsia="仿宋"/>
          <w:b/>
          <w:bCs/>
          <w:kern w:val="2"/>
          <w:sz w:val="24"/>
          <w:szCs w:val="24"/>
        </w:rPr>
        <w:t>专业名称：</w:t>
      </w:r>
      <w:r>
        <w:rPr>
          <w:rFonts w:hint="eastAsia" w:eastAsia="仿宋"/>
          <w:b/>
          <w:bCs/>
          <w:kern w:val="2"/>
          <w:sz w:val="24"/>
          <w:szCs w:val="24"/>
        </w:rPr>
        <w:t>劳动与社会保障（康养金融）</w:t>
      </w:r>
      <w:r>
        <w:rPr>
          <w:rFonts w:eastAsia="仿宋"/>
          <w:b/>
          <w:bCs/>
          <w:kern w:val="2"/>
          <w:sz w:val="24"/>
          <w:szCs w:val="24"/>
        </w:rPr>
        <w:t xml:space="preserve">辅修学士学位（专业）  </w:t>
      </w:r>
    </w:p>
    <w:p>
      <w:pPr>
        <w:widowControl w:val="0"/>
        <w:spacing w:line="360" w:lineRule="auto"/>
        <w:rPr>
          <w:rFonts w:eastAsia="仿宋"/>
          <w:b/>
          <w:bCs/>
          <w:kern w:val="2"/>
          <w:sz w:val="24"/>
          <w:szCs w:val="24"/>
        </w:rPr>
      </w:pPr>
      <w:r>
        <w:rPr>
          <w:rFonts w:eastAsia="仿宋"/>
          <w:b/>
          <w:bCs/>
          <w:kern w:val="2"/>
          <w:sz w:val="24"/>
          <w:szCs w:val="24"/>
        </w:rPr>
        <w:t>学位：</w:t>
      </w:r>
      <w:r>
        <w:rPr>
          <w:rFonts w:hint="eastAsia" w:eastAsia="仿宋"/>
          <w:b/>
          <w:bCs/>
          <w:kern w:val="2"/>
          <w:sz w:val="24"/>
          <w:szCs w:val="24"/>
          <w:lang w:eastAsia="zh-CN"/>
        </w:rPr>
        <w:t>管理</w:t>
      </w:r>
      <w:r>
        <w:rPr>
          <w:rFonts w:eastAsia="仿宋"/>
          <w:b/>
          <w:bCs/>
          <w:kern w:val="2"/>
          <w:sz w:val="24"/>
          <w:szCs w:val="24"/>
        </w:rPr>
        <w:t>学学士</w:t>
      </w:r>
    </w:p>
    <w:tbl>
      <w:tblPr>
        <w:tblStyle w:val="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2"/>
        <w:gridCol w:w="2271"/>
        <w:gridCol w:w="729"/>
        <w:gridCol w:w="728"/>
        <w:gridCol w:w="1309"/>
        <w:gridCol w:w="1455"/>
        <w:gridCol w:w="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99" w:type="pct"/>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课程代码</w:t>
            </w:r>
          </w:p>
        </w:tc>
        <w:tc>
          <w:tcPr>
            <w:tcW w:w="1333" w:type="pct"/>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课程名称</w:t>
            </w:r>
          </w:p>
        </w:tc>
        <w:tc>
          <w:tcPr>
            <w:tcW w:w="427" w:type="pct"/>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学分</w:t>
            </w:r>
          </w:p>
        </w:tc>
        <w:tc>
          <w:tcPr>
            <w:tcW w:w="427" w:type="pct"/>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课时</w:t>
            </w:r>
          </w:p>
        </w:tc>
        <w:tc>
          <w:tcPr>
            <w:tcW w:w="768" w:type="pct"/>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开课学期</w:t>
            </w:r>
          </w:p>
        </w:tc>
        <w:tc>
          <w:tcPr>
            <w:tcW w:w="854" w:type="pct"/>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先修课程</w:t>
            </w:r>
          </w:p>
        </w:tc>
        <w:tc>
          <w:tcPr>
            <w:tcW w:w="389" w:type="pct"/>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1005200663</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公共管理学</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48</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三,五</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lang w:eastAsia="en-US"/>
              </w:rPr>
            </w:pPr>
            <w:r>
              <w:rPr>
                <w:rFonts w:hint="eastAsia" w:ascii="仿宋" w:hAnsi="仿宋" w:eastAsia="仿宋"/>
                <w:color w:val="000000"/>
                <w:sz w:val="22"/>
                <w:szCs w:val="24"/>
              </w:rPr>
              <w:t>1004201913</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金融学</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48</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三,五</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lang w:eastAsia="en-US"/>
              </w:rPr>
            </w:pPr>
            <w:r>
              <w:rPr>
                <w:rFonts w:hint="eastAsia" w:ascii="仿宋" w:hAnsi="仿宋" w:eastAsia="仿宋"/>
                <w:color w:val="000000"/>
                <w:sz w:val="22"/>
                <w:szCs w:val="24"/>
              </w:rPr>
              <w:t>1005203082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公共经济学</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四,六</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lang w:eastAsia="en-US"/>
              </w:rPr>
            </w:pPr>
            <w:r>
              <w:rPr>
                <w:rFonts w:hint="eastAsia" w:ascii="仿宋" w:hAnsi="仿宋" w:eastAsia="仿宋"/>
                <w:color w:val="000000"/>
                <w:sz w:val="22"/>
                <w:szCs w:val="24"/>
              </w:rPr>
              <w:t>1005200772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公共政策</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四,六</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1005201422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社会保障学</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四,六</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1005201563</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社会调查研究方法与应用</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48</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四,六</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1005202032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外国社会保障制度（双语）</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五,七</w:t>
            </w:r>
          </w:p>
        </w:tc>
        <w:tc>
          <w:tcPr>
            <w:tcW w:w="1455"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社会保障学</w:t>
            </w:r>
          </w:p>
        </w:tc>
        <w:tc>
          <w:tcPr>
            <w:tcW w:w="663" w:type="dxa"/>
            <w:vAlign w:val="top"/>
          </w:tcPr>
          <w:p>
            <w:pPr>
              <w:spacing w:beforeLines="0" w:afterLines="0"/>
              <w:jc w:val="center"/>
              <w:rPr>
                <w:rFonts w:hint="eastAsia" w:ascii="仿宋" w:hAnsi="仿宋" w:eastAsia="仿宋" w:cs="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1005201132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劳动经济学</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五,七</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1005203252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养老保障与养老金融</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五,七</w:t>
            </w:r>
          </w:p>
        </w:tc>
        <w:tc>
          <w:tcPr>
            <w:tcW w:w="1455"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社会保障学</w:t>
            </w: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lang w:eastAsia="en-US"/>
              </w:rPr>
            </w:pPr>
            <w:r>
              <w:rPr>
                <w:rFonts w:hint="eastAsia" w:ascii="仿宋" w:hAnsi="仿宋" w:eastAsia="仿宋"/>
                <w:color w:val="000000"/>
                <w:sz w:val="22"/>
                <w:szCs w:val="24"/>
              </w:rPr>
              <w:t>1005201382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社会保障精算原理</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五,七</w:t>
            </w:r>
          </w:p>
        </w:tc>
        <w:tc>
          <w:tcPr>
            <w:tcW w:w="1455"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社会保障学</w:t>
            </w: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lang w:eastAsia="en-US"/>
              </w:rPr>
            </w:pPr>
            <w:r>
              <w:rPr>
                <w:rFonts w:hint="eastAsia" w:ascii="仿宋" w:hAnsi="仿宋" w:eastAsia="仿宋"/>
                <w:color w:val="000000"/>
                <w:sz w:val="22"/>
                <w:szCs w:val="24"/>
              </w:rPr>
              <w:t>1005202952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社会保险实务</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六</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lang w:eastAsia="en-US"/>
              </w:rPr>
            </w:pPr>
            <w:r>
              <w:rPr>
                <w:rFonts w:hint="eastAsia" w:ascii="仿宋" w:hAnsi="仿宋" w:eastAsia="仿宋"/>
                <w:color w:val="000000"/>
                <w:sz w:val="22"/>
                <w:szCs w:val="24"/>
              </w:rPr>
              <w:t>1005200122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医疗保障</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六</w:t>
            </w:r>
          </w:p>
        </w:tc>
        <w:tc>
          <w:tcPr>
            <w:tcW w:w="1455"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社会保障学</w:t>
            </w: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lang w:eastAsia="en-US"/>
              </w:rPr>
            </w:pPr>
            <w:r>
              <w:rPr>
                <w:rFonts w:hint="eastAsia" w:ascii="仿宋" w:hAnsi="仿宋" w:eastAsia="仿宋"/>
                <w:color w:val="000000"/>
                <w:sz w:val="22"/>
                <w:szCs w:val="24"/>
              </w:rPr>
              <w:t>1005202992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人力资源管理概论</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六</w:t>
            </w:r>
          </w:p>
        </w:tc>
        <w:tc>
          <w:tcPr>
            <w:tcW w:w="1455" w:type="dxa"/>
            <w:vAlign w:val="top"/>
          </w:tcPr>
          <w:p>
            <w:pPr>
              <w:spacing w:beforeLines="0" w:afterLines="0"/>
              <w:jc w:val="center"/>
              <w:rPr>
                <w:rFonts w:hint="eastAsia" w:ascii="仿宋" w:hAnsi="仿宋" w:eastAsia="仿宋" w:cs="仿宋"/>
                <w:sz w:val="22"/>
                <w:szCs w:val="22"/>
              </w:rPr>
            </w:pP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362" w:type="dxa"/>
            <w:vAlign w:val="top"/>
          </w:tcPr>
          <w:p>
            <w:pPr>
              <w:spacing w:beforeLines="0" w:afterLines="0"/>
              <w:jc w:val="center"/>
              <w:rPr>
                <w:rFonts w:hint="eastAsia" w:ascii="仿宋" w:hAnsi="仿宋" w:eastAsia="仿宋" w:cs="仿宋"/>
                <w:sz w:val="22"/>
                <w:szCs w:val="22"/>
                <w:lang w:eastAsia="en-US"/>
              </w:rPr>
            </w:pPr>
            <w:r>
              <w:rPr>
                <w:rFonts w:hint="eastAsia" w:ascii="仿宋" w:hAnsi="仿宋" w:eastAsia="仿宋"/>
                <w:color w:val="000000"/>
                <w:sz w:val="22"/>
                <w:szCs w:val="24"/>
              </w:rPr>
              <w:t>1005201352</w:t>
            </w:r>
          </w:p>
        </w:tc>
        <w:tc>
          <w:tcPr>
            <w:tcW w:w="2271"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社会保障基金管理</w:t>
            </w:r>
          </w:p>
        </w:tc>
        <w:tc>
          <w:tcPr>
            <w:tcW w:w="72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2</w:t>
            </w:r>
          </w:p>
        </w:tc>
        <w:tc>
          <w:tcPr>
            <w:tcW w:w="728"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32</w:t>
            </w:r>
          </w:p>
        </w:tc>
        <w:tc>
          <w:tcPr>
            <w:tcW w:w="1309"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七</w:t>
            </w:r>
          </w:p>
        </w:tc>
        <w:tc>
          <w:tcPr>
            <w:tcW w:w="1455"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社会保障学</w:t>
            </w:r>
          </w:p>
        </w:tc>
        <w:tc>
          <w:tcPr>
            <w:tcW w:w="663" w:type="dxa"/>
            <w:vAlign w:val="top"/>
          </w:tcPr>
          <w:p>
            <w:pPr>
              <w:spacing w:beforeLines="0" w:afterLines="0"/>
              <w:jc w:val="center"/>
              <w:rPr>
                <w:rFonts w:hint="eastAsia" w:ascii="仿宋" w:hAnsi="仿宋" w:eastAsia="仿宋" w:cs="仿宋"/>
                <w:sz w:val="22"/>
                <w:szCs w:val="22"/>
              </w:rPr>
            </w:pPr>
            <w:r>
              <w:rPr>
                <w:rFonts w:hint="eastAsia" w:ascii="仿宋" w:hAnsi="仿宋" w:eastAsia="仿宋"/>
                <w:color w:val="000000"/>
                <w:sz w:val="22"/>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132" w:type="pct"/>
            <w:gridSpan w:val="2"/>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小计</w:t>
            </w:r>
          </w:p>
        </w:tc>
        <w:tc>
          <w:tcPr>
            <w:tcW w:w="427" w:type="pct"/>
            <w:vAlign w:val="center"/>
          </w:tcPr>
          <w:p>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31</w:t>
            </w:r>
          </w:p>
        </w:tc>
        <w:tc>
          <w:tcPr>
            <w:tcW w:w="427" w:type="pct"/>
            <w:vAlign w:val="center"/>
          </w:tcPr>
          <w:p>
            <w:pPr>
              <w:spacing w:line="360" w:lineRule="auto"/>
              <w:jc w:val="center"/>
              <w:rPr>
                <w:rFonts w:hint="eastAsia" w:ascii="仿宋" w:hAnsi="仿宋" w:eastAsia="仿宋" w:cs="仿宋"/>
                <w:sz w:val="22"/>
                <w:szCs w:val="22"/>
              </w:rPr>
            </w:pPr>
          </w:p>
        </w:tc>
        <w:tc>
          <w:tcPr>
            <w:tcW w:w="768" w:type="pct"/>
            <w:vAlign w:val="center"/>
          </w:tcPr>
          <w:p>
            <w:pPr>
              <w:spacing w:line="360" w:lineRule="auto"/>
              <w:jc w:val="center"/>
              <w:rPr>
                <w:rFonts w:hint="eastAsia" w:ascii="仿宋" w:hAnsi="仿宋" w:eastAsia="仿宋" w:cs="仿宋"/>
                <w:sz w:val="22"/>
                <w:szCs w:val="22"/>
              </w:rPr>
            </w:pPr>
          </w:p>
        </w:tc>
        <w:tc>
          <w:tcPr>
            <w:tcW w:w="854" w:type="pct"/>
            <w:vAlign w:val="center"/>
          </w:tcPr>
          <w:p>
            <w:pPr>
              <w:spacing w:line="360" w:lineRule="auto"/>
              <w:jc w:val="center"/>
              <w:rPr>
                <w:rFonts w:hint="eastAsia" w:ascii="仿宋" w:hAnsi="仿宋" w:eastAsia="仿宋" w:cs="仿宋"/>
                <w:sz w:val="22"/>
                <w:szCs w:val="22"/>
              </w:rPr>
            </w:pPr>
          </w:p>
        </w:tc>
        <w:tc>
          <w:tcPr>
            <w:tcW w:w="389" w:type="pct"/>
            <w:vAlign w:val="center"/>
          </w:tcPr>
          <w:p>
            <w:pPr>
              <w:spacing w:line="360" w:lineRule="auto"/>
              <w:jc w:val="center"/>
              <w:rPr>
                <w:rFonts w:hint="eastAsia" w:ascii="仿宋" w:hAnsi="仿宋" w:eastAsia="仿宋" w:cs="仿宋"/>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132" w:type="pct"/>
            <w:gridSpan w:val="2"/>
            <w:vAlign w:val="center"/>
          </w:tcPr>
          <w:p>
            <w:pPr>
              <w:spacing w:line="360" w:lineRule="auto"/>
              <w:jc w:val="center"/>
              <w:rPr>
                <w:rFonts w:hint="eastAsia" w:ascii="仿宋" w:hAnsi="仿宋" w:eastAsia="仿宋" w:cs="仿宋"/>
                <w:sz w:val="22"/>
                <w:szCs w:val="22"/>
              </w:rPr>
            </w:pPr>
            <w:r>
              <w:rPr>
                <w:rFonts w:hint="eastAsia" w:ascii="仿宋" w:hAnsi="仿宋" w:eastAsia="仿宋" w:cs="仿宋"/>
                <w:sz w:val="22"/>
                <w:szCs w:val="22"/>
                <w:lang w:eastAsia="en-US"/>
              </w:rPr>
              <w:t>毕业设计（论文）</w:t>
            </w:r>
          </w:p>
        </w:tc>
        <w:tc>
          <w:tcPr>
            <w:tcW w:w="427" w:type="pct"/>
            <w:vAlign w:val="center"/>
          </w:tcPr>
          <w:p>
            <w:pPr>
              <w:spacing w:line="360" w:lineRule="auto"/>
              <w:jc w:val="center"/>
              <w:rPr>
                <w:rFonts w:hint="eastAsia" w:ascii="仿宋" w:hAnsi="仿宋" w:eastAsia="仿宋" w:cs="仿宋"/>
                <w:sz w:val="22"/>
                <w:szCs w:val="22"/>
                <w:lang w:eastAsia="zh-CN"/>
              </w:rPr>
            </w:pPr>
            <w:r>
              <w:rPr>
                <w:rFonts w:hint="eastAsia" w:ascii="仿宋" w:hAnsi="仿宋" w:eastAsia="仿宋" w:cs="仿宋"/>
                <w:sz w:val="22"/>
                <w:szCs w:val="22"/>
                <w:lang w:val="en-US" w:eastAsia="zh-CN"/>
              </w:rPr>
              <w:t>6</w:t>
            </w:r>
          </w:p>
        </w:tc>
        <w:tc>
          <w:tcPr>
            <w:tcW w:w="427" w:type="pct"/>
            <w:vAlign w:val="center"/>
          </w:tcPr>
          <w:p>
            <w:pPr>
              <w:spacing w:line="360" w:lineRule="auto"/>
              <w:jc w:val="center"/>
              <w:rPr>
                <w:rFonts w:hint="eastAsia" w:ascii="仿宋" w:hAnsi="仿宋" w:eastAsia="仿宋" w:cs="仿宋"/>
                <w:sz w:val="22"/>
                <w:szCs w:val="22"/>
                <w:lang w:eastAsia="en-US"/>
              </w:rPr>
            </w:pPr>
          </w:p>
        </w:tc>
        <w:tc>
          <w:tcPr>
            <w:tcW w:w="768" w:type="pct"/>
            <w:vAlign w:val="center"/>
          </w:tcPr>
          <w:p>
            <w:pPr>
              <w:spacing w:line="360" w:lineRule="auto"/>
              <w:jc w:val="center"/>
              <w:rPr>
                <w:rFonts w:hint="eastAsia" w:ascii="仿宋" w:hAnsi="仿宋" w:eastAsia="仿宋" w:cs="仿宋"/>
                <w:sz w:val="22"/>
                <w:szCs w:val="22"/>
                <w:lang w:eastAsia="en-US"/>
              </w:rPr>
            </w:pPr>
          </w:p>
        </w:tc>
        <w:tc>
          <w:tcPr>
            <w:tcW w:w="854" w:type="pct"/>
            <w:vAlign w:val="center"/>
          </w:tcPr>
          <w:p>
            <w:pPr>
              <w:spacing w:line="360" w:lineRule="auto"/>
              <w:jc w:val="center"/>
              <w:rPr>
                <w:rFonts w:hint="eastAsia" w:ascii="仿宋" w:hAnsi="仿宋" w:eastAsia="仿宋" w:cs="仿宋"/>
                <w:sz w:val="22"/>
                <w:szCs w:val="22"/>
                <w:lang w:eastAsia="en-US"/>
              </w:rPr>
            </w:pPr>
          </w:p>
        </w:tc>
        <w:tc>
          <w:tcPr>
            <w:tcW w:w="389" w:type="pct"/>
            <w:vAlign w:val="center"/>
          </w:tcPr>
          <w:p>
            <w:pPr>
              <w:spacing w:line="360" w:lineRule="auto"/>
              <w:jc w:val="center"/>
              <w:rPr>
                <w:rFonts w:hint="eastAsia" w:ascii="仿宋" w:hAnsi="仿宋" w:eastAsia="仿宋" w:cs="仿宋"/>
                <w:sz w:val="22"/>
                <w:szCs w:val="22"/>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132" w:type="pct"/>
            <w:gridSpan w:val="2"/>
            <w:vAlign w:val="center"/>
          </w:tcPr>
          <w:p>
            <w:pPr>
              <w:spacing w:line="360" w:lineRule="auto"/>
              <w:jc w:val="center"/>
              <w:rPr>
                <w:rFonts w:hint="eastAsia" w:ascii="仿宋" w:hAnsi="仿宋" w:eastAsia="仿宋" w:cs="仿宋"/>
                <w:b/>
                <w:bCs/>
                <w:sz w:val="22"/>
                <w:szCs w:val="22"/>
                <w:lang w:eastAsia="en-US"/>
              </w:rPr>
            </w:pPr>
            <w:r>
              <w:rPr>
                <w:rFonts w:hint="eastAsia" w:ascii="仿宋" w:hAnsi="仿宋" w:eastAsia="仿宋" w:cs="仿宋"/>
                <w:b/>
                <w:bCs/>
                <w:sz w:val="22"/>
                <w:szCs w:val="22"/>
                <w:lang w:eastAsia="en-US"/>
              </w:rPr>
              <w:t>合计</w:t>
            </w:r>
          </w:p>
        </w:tc>
        <w:tc>
          <w:tcPr>
            <w:tcW w:w="427" w:type="pct"/>
            <w:vAlign w:val="center"/>
          </w:tcPr>
          <w:p>
            <w:pPr>
              <w:spacing w:line="360" w:lineRule="auto"/>
              <w:jc w:val="center"/>
              <w:rPr>
                <w:rFonts w:hint="eastAsia" w:ascii="仿宋" w:hAnsi="仿宋" w:eastAsia="仿宋" w:cs="仿宋"/>
                <w:b/>
                <w:bCs/>
                <w:sz w:val="22"/>
                <w:szCs w:val="22"/>
                <w:lang w:eastAsia="zh-CN"/>
              </w:rPr>
            </w:pPr>
            <w:r>
              <w:rPr>
                <w:rFonts w:hint="eastAsia" w:ascii="仿宋" w:hAnsi="仿宋" w:eastAsia="仿宋" w:cs="仿宋"/>
                <w:b/>
                <w:bCs/>
                <w:sz w:val="22"/>
                <w:szCs w:val="22"/>
              </w:rPr>
              <w:t>3</w:t>
            </w:r>
            <w:r>
              <w:rPr>
                <w:rFonts w:hint="eastAsia" w:ascii="仿宋" w:hAnsi="仿宋" w:eastAsia="仿宋" w:cs="仿宋"/>
                <w:b/>
                <w:bCs/>
                <w:sz w:val="22"/>
                <w:szCs w:val="22"/>
                <w:lang w:val="en-US" w:eastAsia="zh-CN"/>
              </w:rPr>
              <w:t>7</w:t>
            </w:r>
          </w:p>
        </w:tc>
        <w:tc>
          <w:tcPr>
            <w:tcW w:w="427" w:type="pct"/>
            <w:vAlign w:val="center"/>
          </w:tcPr>
          <w:p>
            <w:pPr>
              <w:spacing w:line="360" w:lineRule="auto"/>
              <w:jc w:val="center"/>
              <w:rPr>
                <w:rFonts w:hint="eastAsia" w:ascii="仿宋" w:hAnsi="仿宋" w:eastAsia="仿宋" w:cs="仿宋"/>
                <w:sz w:val="22"/>
                <w:szCs w:val="22"/>
                <w:lang w:eastAsia="en-US"/>
              </w:rPr>
            </w:pPr>
          </w:p>
        </w:tc>
        <w:tc>
          <w:tcPr>
            <w:tcW w:w="768" w:type="pct"/>
            <w:vAlign w:val="center"/>
          </w:tcPr>
          <w:p>
            <w:pPr>
              <w:spacing w:line="360" w:lineRule="auto"/>
              <w:jc w:val="center"/>
              <w:rPr>
                <w:rFonts w:hint="eastAsia" w:ascii="仿宋" w:hAnsi="仿宋" w:eastAsia="仿宋" w:cs="仿宋"/>
                <w:sz w:val="22"/>
                <w:szCs w:val="22"/>
                <w:lang w:eastAsia="en-US"/>
              </w:rPr>
            </w:pPr>
          </w:p>
        </w:tc>
        <w:tc>
          <w:tcPr>
            <w:tcW w:w="854" w:type="pct"/>
            <w:vAlign w:val="center"/>
          </w:tcPr>
          <w:p>
            <w:pPr>
              <w:spacing w:line="360" w:lineRule="auto"/>
              <w:jc w:val="center"/>
              <w:rPr>
                <w:rFonts w:hint="eastAsia" w:ascii="仿宋" w:hAnsi="仿宋" w:eastAsia="仿宋" w:cs="仿宋"/>
                <w:sz w:val="22"/>
                <w:szCs w:val="22"/>
                <w:lang w:eastAsia="en-US"/>
              </w:rPr>
            </w:pPr>
          </w:p>
        </w:tc>
        <w:tc>
          <w:tcPr>
            <w:tcW w:w="389" w:type="pct"/>
            <w:vAlign w:val="center"/>
          </w:tcPr>
          <w:p>
            <w:pPr>
              <w:spacing w:line="360" w:lineRule="auto"/>
              <w:jc w:val="center"/>
              <w:rPr>
                <w:rFonts w:hint="eastAsia" w:ascii="仿宋" w:hAnsi="仿宋" w:eastAsia="仿宋" w:cs="仿宋"/>
                <w:sz w:val="22"/>
                <w:szCs w:val="22"/>
                <w:lang w:eastAsia="en-US"/>
              </w:rPr>
            </w:pPr>
          </w:p>
        </w:tc>
      </w:tr>
    </w:tbl>
    <w:p>
      <w:pPr>
        <w:spacing w:after="156" w:afterLines="50" w:line="360" w:lineRule="auto"/>
        <w:rPr>
          <w:rFonts w:eastAsia="仿宋"/>
          <w:color w:val="000000"/>
        </w:rPr>
      </w:pPr>
      <w:r>
        <w:rPr>
          <w:rFonts w:hint="eastAsia" w:ascii="仿宋" w:hAnsi="仿宋" w:eastAsia="仿宋" w:cs="仿宋"/>
          <w:color w:val="000000"/>
          <w:sz w:val="22"/>
          <w:szCs w:val="22"/>
        </w:rPr>
        <w:t>备注：标★的为辅修专业课程。</w:t>
      </w:r>
      <w:r>
        <w:rPr>
          <w:rFonts w:eastAsia="仿宋"/>
          <w:color w:val="000000"/>
        </w:rPr>
        <w:t xml:space="preserve"> </w:t>
      </w:r>
      <w:r>
        <w:rPr>
          <w:rFonts w:hint="eastAsia" w:eastAsia="仿宋"/>
          <w:color w:val="000000"/>
        </w:rPr>
        <w:t xml:space="preserve"> </w:t>
      </w:r>
    </w:p>
    <w:p>
      <w:pPr>
        <w:spacing w:after="156" w:afterLines="50" w:line="360" w:lineRule="auto"/>
        <w:rPr>
          <w:rFonts w:eastAsia="仿宋"/>
          <w:color w:val="000000"/>
        </w:rPr>
      </w:pPr>
      <w:bookmarkStart w:id="0" w:name="_GoBack"/>
      <w:bookmarkEnd w:id="0"/>
    </w:p>
    <w:p>
      <w:pPr>
        <w:spacing w:after="156" w:afterLines="50" w:line="360" w:lineRule="auto"/>
        <w:ind w:firstLine="5280" w:firstLineChars="2200"/>
        <w:rPr>
          <w:rFonts w:eastAsia="仿宋"/>
          <w:color w:val="000000"/>
        </w:rPr>
      </w:pPr>
      <w:r>
        <w:rPr>
          <w:rFonts w:hint="eastAsia" w:eastAsia="仿宋"/>
          <w:color w:val="000000"/>
        </w:rPr>
        <w:t>教学副院长</w:t>
      </w:r>
      <w:r>
        <w:rPr>
          <w:rFonts w:eastAsia="仿宋"/>
          <w:color w:val="000000"/>
        </w:rPr>
        <w:t>签字：</w:t>
      </w:r>
    </w:p>
    <w:p>
      <w:pPr>
        <w:spacing w:after="156" w:afterLines="50" w:line="360" w:lineRule="auto"/>
        <w:rPr>
          <w:rFonts w:eastAsia="仿宋"/>
          <w:color w:val="000000"/>
        </w:rPr>
      </w:pPr>
      <w:r>
        <w:rPr>
          <w:rFonts w:eastAsia="仿宋"/>
          <w:color w:val="000000"/>
        </w:rPr>
        <w:t xml:space="preserve">                                              学院（盖章）：</w:t>
      </w:r>
    </w:p>
    <w:p>
      <w:pPr>
        <w:spacing w:after="156" w:afterLines="50" w:line="360" w:lineRule="auto"/>
        <w:rPr>
          <w:rFonts w:eastAsia="仿宋"/>
          <w:color w:val="000000"/>
        </w:rPr>
      </w:pPr>
      <w:r>
        <w:rPr>
          <w:rFonts w:eastAsia="仿宋"/>
          <w:color w:val="000000"/>
        </w:rPr>
        <w:t xml:space="preserve">                                              年    月    日</w:t>
      </w:r>
    </w:p>
    <w:p>
      <w:pPr>
        <w:spacing w:after="156" w:afterLines="50" w:line="360" w:lineRule="auto"/>
        <w:rPr>
          <w:rFonts w:ascii="仿宋" w:hAnsi="仿宋" w:eastAsia="仿宋" w:cs="仿宋"/>
          <w:color w:val="000000"/>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JjZmU0YTQ4ZGNiYjhhNWQ4NTY0ZTE3ZDMzNTBjODUifQ=="/>
  </w:docVars>
  <w:rsids>
    <w:rsidRoot w:val="00172A27"/>
    <w:rsid w:val="00001A9B"/>
    <w:rsid w:val="00024479"/>
    <w:rsid w:val="000C4757"/>
    <w:rsid w:val="000C4A7A"/>
    <w:rsid w:val="000D1BF4"/>
    <w:rsid w:val="000F1681"/>
    <w:rsid w:val="00100194"/>
    <w:rsid w:val="001420F3"/>
    <w:rsid w:val="001E79AB"/>
    <w:rsid w:val="00213255"/>
    <w:rsid w:val="00252C6F"/>
    <w:rsid w:val="002949EC"/>
    <w:rsid w:val="002F5E41"/>
    <w:rsid w:val="00437A56"/>
    <w:rsid w:val="00476024"/>
    <w:rsid w:val="005D40ED"/>
    <w:rsid w:val="005F5307"/>
    <w:rsid w:val="0060377C"/>
    <w:rsid w:val="0069746D"/>
    <w:rsid w:val="007033B9"/>
    <w:rsid w:val="00790C62"/>
    <w:rsid w:val="007C738B"/>
    <w:rsid w:val="00863C00"/>
    <w:rsid w:val="008A0B19"/>
    <w:rsid w:val="009B454E"/>
    <w:rsid w:val="009B64AD"/>
    <w:rsid w:val="00B232D4"/>
    <w:rsid w:val="00B7329A"/>
    <w:rsid w:val="00B76B14"/>
    <w:rsid w:val="00BC7E4A"/>
    <w:rsid w:val="00C06BC4"/>
    <w:rsid w:val="00CA7D9F"/>
    <w:rsid w:val="00CD1E3C"/>
    <w:rsid w:val="00CF63C5"/>
    <w:rsid w:val="00D22818"/>
    <w:rsid w:val="00E14EF3"/>
    <w:rsid w:val="00E56114"/>
    <w:rsid w:val="00E90EA8"/>
    <w:rsid w:val="00F2411E"/>
    <w:rsid w:val="00F409C9"/>
    <w:rsid w:val="00F410D1"/>
    <w:rsid w:val="00F72DCD"/>
    <w:rsid w:val="00FE1230"/>
    <w:rsid w:val="0D0253C3"/>
    <w:rsid w:val="0E4465AE"/>
    <w:rsid w:val="0F1E3195"/>
    <w:rsid w:val="114966B3"/>
    <w:rsid w:val="36446F8C"/>
    <w:rsid w:val="434406C0"/>
    <w:rsid w:val="4F675ED1"/>
    <w:rsid w:val="538E7ED0"/>
    <w:rsid w:val="5B375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cs="Times New Roman" w:eastAsiaTheme="minorEastAsia"/>
      <w:sz w:val="24"/>
      <w:szCs w:val="24"/>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paragraph" w:customStyle="1" w:styleId="4">
    <w:name w:val="Table Paragraph"/>
    <w:basedOn w:val="1"/>
    <w:autoRedefine/>
    <w:qFormat/>
    <w:uiPriority w:val="99"/>
    <w:pPr>
      <w:widowControl w:val="0"/>
    </w:pPr>
    <w:rPr>
      <w:rFonts w:ascii="Calibri" w:hAnsi="Calibri" w:eastAsia="宋体"/>
      <w:sz w:val="22"/>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146</Words>
  <Characters>836</Characters>
  <Lines>6</Lines>
  <Paragraphs>1</Paragraphs>
  <TotalTime>2</TotalTime>
  <ScaleCrop>false</ScaleCrop>
  <LinksUpToDate>false</LinksUpToDate>
  <CharactersWithSpaces>981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2024-03-28T08:33:00Z</dcterms:created>
  <dc:creator>榯柒</dc:creator>
  <cp:lastModifiedBy>谢凤鸣</cp:lastModifiedBy>
  <dcterms:modified xsi:type="dcterms:W3CDTF">2024-04-07T07:10:39Z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762785374990450AA53E9A65DB885A76_12</vt:lpwstr>
  </property>
</Properties>
</file>